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01B42C8E" w14:textId="66BD88CB" w:rsidR="00C275CB" w:rsidRDefault="0072581A" w:rsidP="006173BD">
      <w:pPr>
        <w:spacing w:line="256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B61D6E" w:rsidRPr="00B61D6E">
        <w:rPr>
          <w:bCs/>
          <w:sz w:val="26"/>
          <w:szCs w:val="26"/>
        </w:rPr>
        <w:t>услуги по проработке проекта стандарта по маркировке туристских троп</w:t>
      </w:r>
      <w:r w:rsidR="00C275CB">
        <w:rPr>
          <w:bCs/>
          <w:sz w:val="26"/>
          <w:szCs w:val="26"/>
        </w:rPr>
        <w:t>.</w:t>
      </w:r>
    </w:p>
    <w:p w14:paraId="2A20290B" w14:textId="65391CC4" w:rsidR="00D21277" w:rsidRDefault="00D21277" w:rsidP="00D21277">
      <w:pPr>
        <w:ind w:firstLine="63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</w:p>
    <w:p w14:paraId="300055AE" w14:textId="2ED364D6" w:rsidR="00D21277" w:rsidRPr="00D21277" w:rsidRDefault="00D21277" w:rsidP="00D21277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21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Наличие высшего образования;</w:t>
      </w:r>
    </w:p>
    <w:p w14:paraId="17E3CDC1" w14:textId="5B118748" w:rsidR="00D21277" w:rsidRPr="00D21277" w:rsidRDefault="00D21277" w:rsidP="00D21277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21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Наличие опыта работы в сфере разработки стандартов не менее трех лет;</w:t>
      </w:r>
    </w:p>
    <w:p w14:paraId="19591AEA" w14:textId="7E36581E" w:rsidR="00D21277" w:rsidRPr="00D21277" w:rsidRDefault="00D21277" w:rsidP="00D21277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21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проведении собеседования Исполнитель должен подтвердить знание стандартов СТ РК 1.2 и СТ РК 1.22.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A46475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40B9954F" w14:textId="30B227EA" w:rsidR="00A46475" w:rsidRPr="006173BD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B61D6E" w:rsidRPr="00B61D6E">
        <w:rPr>
          <w:sz w:val="26"/>
          <w:szCs w:val="26"/>
        </w:rPr>
        <w:t>с даты заключения договора по 20 декабря 2022 года включительно.</w:t>
      </w:r>
    </w:p>
    <w:p w14:paraId="6E2448B1" w14:textId="09CAC503" w:rsidR="00C275CB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D21277" w:rsidRPr="00D21277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услугах.</w:t>
      </w:r>
      <w:r w:rsidR="00C275CB" w:rsidRPr="00C275CB">
        <w:rPr>
          <w:sz w:val="26"/>
          <w:szCs w:val="26"/>
        </w:rPr>
        <w:t xml:space="preserve"> </w:t>
      </w:r>
    </w:p>
    <w:p w14:paraId="150FFBD5" w14:textId="77777777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6"/>
          <w:szCs w:val="26"/>
        </w:rPr>
      </w:pPr>
    </w:p>
    <w:p w14:paraId="0CD4A4CF" w14:textId="7181A125" w:rsidR="00FC4F30" w:rsidRPr="00F71A3A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213CE9BB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340C7FA5" w14:textId="293950AD" w:rsidR="006173BD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  <w:r w:rsidR="00D800A2">
        <w:rPr>
          <w:rStyle w:val="a7"/>
          <w:color w:val="4C4C4C"/>
        </w:rPr>
        <w:t xml:space="preserve">                                                                                                       </w:t>
      </w:r>
    </w:p>
    <w:p w14:paraId="01D58E24" w14:textId="20D17E24" w:rsidR="004F2784" w:rsidRPr="00557308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1A5DBBB8" w14:textId="77777777" w:rsidR="00B61D6E" w:rsidRPr="00EE5F3B" w:rsidRDefault="00B61D6E" w:rsidP="00B61D6E">
      <w:pPr>
        <w:spacing w:line="326" w:lineRule="auto"/>
        <w:ind w:firstLine="630"/>
        <w:jc w:val="center"/>
        <w:rPr>
          <w:b/>
        </w:rPr>
      </w:pPr>
      <w:r w:rsidRPr="00EE5F3B">
        <w:rPr>
          <w:b/>
        </w:rPr>
        <w:t>ТЕХНИЧЕСКАЯ СПЕЦИФИКАЦИЯ</w:t>
      </w:r>
    </w:p>
    <w:p w14:paraId="18F7485B" w14:textId="77777777" w:rsidR="00B61D6E" w:rsidRPr="00EE5F3B" w:rsidRDefault="00B61D6E" w:rsidP="00B61D6E">
      <w:pPr>
        <w:spacing w:line="326" w:lineRule="auto"/>
        <w:ind w:firstLine="630"/>
        <w:jc w:val="center"/>
        <w:rPr>
          <w:b/>
        </w:rPr>
      </w:pPr>
      <w:r w:rsidRPr="00EE5F3B">
        <w:rPr>
          <w:b/>
        </w:rPr>
        <w:t>услуги по проработке проекта стандарта по маркировке туристских троп</w:t>
      </w:r>
    </w:p>
    <w:p w14:paraId="619F7B9C" w14:textId="77777777" w:rsidR="00B61D6E" w:rsidRPr="00EE5F3B" w:rsidRDefault="00B61D6E" w:rsidP="00B61D6E">
      <w:pPr>
        <w:spacing w:line="326" w:lineRule="auto"/>
        <w:ind w:firstLine="630"/>
        <w:jc w:val="center"/>
      </w:pPr>
      <w:r w:rsidRPr="00EE5F3B">
        <w:rPr>
          <w:b/>
        </w:rPr>
        <w:t xml:space="preserve"> </w:t>
      </w:r>
      <w:r w:rsidRPr="00EE5F3B">
        <w:t xml:space="preserve"> </w:t>
      </w:r>
    </w:p>
    <w:p w14:paraId="3E56047C" w14:textId="77777777" w:rsidR="00B61D6E" w:rsidRPr="00EE5F3B" w:rsidRDefault="00B61D6E" w:rsidP="00B61D6E">
      <w:pPr>
        <w:ind w:firstLine="630"/>
        <w:jc w:val="both"/>
        <w:rPr>
          <w:color w:val="00000A"/>
        </w:rPr>
      </w:pPr>
      <w:r w:rsidRPr="00EE5F3B">
        <w:rPr>
          <w:b/>
          <w:color w:val="00000A"/>
        </w:rPr>
        <w:t>1.</w:t>
      </w:r>
      <w:r w:rsidRPr="00EE5F3B">
        <w:rPr>
          <w:color w:val="00000A"/>
        </w:rPr>
        <w:t xml:space="preserve"> </w:t>
      </w:r>
      <w:r w:rsidRPr="00EE5F3B">
        <w:rPr>
          <w:b/>
          <w:color w:val="00000A"/>
        </w:rPr>
        <w:t>Цель</w:t>
      </w:r>
      <w:r w:rsidRPr="00EE5F3B">
        <w:rPr>
          <w:color w:val="00000A"/>
        </w:rPr>
        <w:t xml:space="preserve">: </w:t>
      </w:r>
      <w:r>
        <w:t>П</w:t>
      </w:r>
      <w:r w:rsidRPr="00EE5F3B">
        <w:t>овышение качества  туристских услуг среди субъектов бизнеса туристской индустрии</w:t>
      </w:r>
      <w:r w:rsidRPr="00EE5F3B">
        <w:rPr>
          <w:color w:val="00000A"/>
        </w:rPr>
        <w:t>.</w:t>
      </w:r>
    </w:p>
    <w:p w14:paraId="04F6E9B5" w14:textId="77777777" w:rsidR="00B61D6E" w:rsidRPr="00EE5F3B" w:rsidRDefault="00B61D6E" w:rsidP="00B61D6E">
      <w:pPr>
        <w:ind w:firstLine="630"/>
        <w:jc w:val="both"/>
        <w:rPr>
          <w:color w:val="00000A"/>
        </w:rPr>
      </w:pPr>
      <w:r w:rsidRPr="00EE5F3B">
        <w:rPr>
          <w:color w:val="00000A"/>
        </w:rPr>
        <w:t xml:space="preserve">2. </w:t>
      </w:r>
      <w:r w:rsidRPr="00EE5F3B">
        <w:rPr>
          <w:b/>
          <w:color w:val="00000A"/>
        </w:rPr>
        <w:t xml:space="preserve">Результат: </w:t>
      </w:r>
      <w:r w:rsidRPr="00EE5F3B">
        <w:rPr>
          <w:color w:val="00000A"/>
        </w:rPr>
        <w:t xml:space="preserve"> </w:t>
      </w:r>
      <w:r>
        <w:rPr>
          <w:color w:val="00000A"/>
          <w:lang w:val="kk-KZ"/>
        </w:rPr>
        <w:t>П</w:t>
      </w:r>
      <w:r w:rsidRPr="00EE5F3B">
        <w:rPr>
          <w:color w:val="00000A"/>
        </w:rPr>
        <w:t>олучение экспертного заключения “вынесение проекта документа по стандартизации на рассмотрение Научно-технического Совета Национального органа по стандартизации  после устранения замечаний”</w:t>
      </w:r>
    </w:p>
    <w:p w14:paraId="0F70845F" w14:textId="77777777" w:rsidR="00B61D6E" w:rsidRPr="00EE5F3B" w:rsidRDefault="00B61D6E" w:rsidP="00B61D6E">
      <w:pPr>
        <w:ind w:firstLine="630"/>
        <w:jc w:val="both"/>
        <w:rPr>
          <w:color w:val="00000A"/>
        </w:rPr>
      </w:pPr>
      <w:r w:rsidRPr="00EE5F3B">
        <w:rPr>
          <w:b/>
          <w:color w:val="00000A"/>
        </w:rPr>
        <w:t>3. Сроки оказания услуг</w:t>
      </w:r>
      <w:r w:rsidRPr="00EE5F3B">
        <w:rPr>
          <w:color w:val="00000A"/>
        </w:rPr>
        <w:t>: с даты заключения договора  по</w:t>
      </w:r>
      <w:r w:rsidRPr="00EE5F3B">
        <w:rPr>
          <w:color w:val="00000A"/>
          <w:highlight w:val="white"/>
        </w:rPr>
        <w:t xml:space="preserve"> 20 декабря </w:t>
      </w:r>
      <w:r w:rsidRPr="00EE5F3B">
        <w:rPr>
          <w:color w:val="00000A"/>
        </w:rPr>
        <w:t xml:space="preserve">2022 года включительно. </w:t>
      </w:r>
    </w:p>
    <w:p w14:paraId="6A92EC27" w14:textId="77777777" w:rsidR="00B61D6E" w:rsidRPr="00EE5F3B" w:rsidRDefault="00B61D6E" w:rsidP="00B61D6E">
      <w:pPr>
        <w:ind w:firstLine="630"/>
        <w:jc w:val="both"/>
        <w:rPr>
          <w:b/>
          <w:color w:val="00000A"/>
        </w:rPr>
      </w:pPr>
      <w:r w:rsidRPr="00EE5F3B">
        <w:rPr>
          <w:color w:val="00000A"/>
        </w:rPr>
        <w:t xml:space="preserve">4. </w:t>
      </w:r>
      <w:r w:rsidRPr="00EE5F3B">
        <w:rPr>
          <w:b/>
          <w:color w:val="00000A"/>
        </w:rPr>
        <w:t xml:space="preserve">Содержание услуг: </w:t>
      </w:r>
    </w:p>
    <w:p w14:paraId="217A847D" w14:textId="77777777" w:rsidR="00B61D6E" w:rsidRPr="00EE5F3B" w:rsidRDefault="00B61D6E" w:rsidP="00B61D6E">
      <w:pPr>
        <w:ind w:firstLine="630"/>
        <w:jc w:val="both"/>
        <w:rPr>
          <w:highlight w:val="white"/>
        </w:rPr>
      </w:pPr>
      <w:r w:rsidRPr="00EE5F3B">
        <w:t>4.1. Приведение проекта стандарта в соответствие с экспертным заключением</w:t>
      </w:r>
      <w:r w:rsidRPr="00EE5F3B">
        <w:rPr>
          <w:color w:val="00000A"/>
        </w:rPr>
        <w:t xml:space="preserve">, полученным от </w:t>
      </w:r>
      <w:r w:rsidRPr="00EE5F3B">
        <w:rPr>
          <w:highlight w:val="white"/>
        </w:rPr>
        <w:t xml:space="preserve">РГП на ПХВ "Казахстанский институт стандартизации и метрологии" Комитета технического регулирования и метрологии Министерства торговли и интеграции Республики Казахстан (Далее - РГП «КазСтандарт») и </w:t>
      </w:r>
      <w:r w:rsidRPr="00EE5F3B">
        <w:rPr>
          <w:color w:val="00000A"/>
          <w:highlight w:val="white"/>
        </w:rPr>
        <w:t>обеспечение получения экспертного заключения</w:t>
      </w:r>
    </w:p>
    <w:p w14:paraId="74396D99" w14:textId="77777777" w:rsidR="00B61D6E" w:rsidRPr="00EE5F3B" w:rsidRDefault="00B61D6E" w:rsidP="00B61D6E">
      <w:pPr>
        <w:ind w:firstLine="630"/>
        <w:jc w:val="both"/>
        <w:rPr>
          <w:b/>
          <w:color w:val="00000A"/>
        </w:rPr>
      </w:pPr>
      <w:r w:rsidRPr="00EE5F3B">
        <w:rPr>
          <w:b/>
          <w:color w:val="00000A"/>
        </w:rPr>
        <w:t>5. Требования к оказанию услуг</w:t>
      </w:r>
    </w:p>
    <w:p w14:paraId="5A2E7DA4" w14:textId="77777777" w:rsidR="00B61D6E" w:rsidRPr="00EE5F3B" w:rsidRDefault="00B61D6E" w:rsidP="00B61D6E">
      <w:pPr>
        <w:ind w:firstLine="630"/>
        <w:jc w:val="both"/>
        <w:rPr>
          <w:color w:val="00000A"/>
        </w:rPr>
      </w:pPr>
      <w:r w:rsidRPr="00EE5F3B">
        <w:t xml:space="preserve">5.1. При сборе, обработке и оформлении информации </w:t>
      </w:r>
      <w:r w:rsidRPr="00EE5F3B">
        <w:rPr>
          <w:highlight w:val="white"/>
        </w:rPr>
        <w:t xml:space="preserve">в целях внесения изменений или пересмотра стандартов Исполнитель руководствуется </w:t>
      </w:r>
      <w:r w:rsidRPr="00EE5F3B">
        <w:t>действующим законодательством Республики Казахстан, национальными стандартами государственной системы стандартизации Республики Казахстан и другими нормативными документами по стандартизации, а также учитывает документы международных и региональных организаций по стандартизации.</w:t>
      </w:r>
    </w:p>
    <w:p w14:paraId="4496EE8B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</w:rPr>
        <w:t xml:space="preserve">5.2. </w:t>
      </w:r>
      <w:r w:rsidRPr="00EE5F3B">
        <w:rPr>
          <w:color w:val="00000A"/>
          <w:highlight w:val="white"/>
        </w:rPr>
        <w:t>Исполнитель должен обеспечить оформление СТ РК «Туристские тропы. Общие требования к маркировке пеших троп» согласно национальным стандартам СТ РК 1.2. и СТ РК 1.22;</w:t>
      </w:r>
    </w:p>
    <w:p w14:paraId="6D4A2EE6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5.3. Согласно экспертному заключению  (предоставляется Заказчиком)  Исполнитель должен выполнить следующее:</w:t>
      </w:r>
    </w:p>
    <w:p w14:paraId="51F616AE" w14:textId="77777777" w:rsidR="00B61D6E" w:rsidRPr="00EE5F3B" w:rsidRDefault="00B61D6E" w:rsidP="00B61D6E">
      <w:pPr>
        <w:numPr>
          <w:ilvl w:val="0"/>
          <w:numId w:val="37"/>
        </w:numPr>
        <w:spacing w:line="276" w:lineRule="auto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рассылку проекта стандарта организациям, обеспечить сбор замечаний/комментариев от данных организаций, и подготовку свода отзывов;</w:t>
      </w:r>
    </w:p>
    <w:p w14:paraId="68D0E50E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- заменить статус “национального” на рекомендации по стандартизации;</w:t>
      </w:r>
    </w:p>
    <w:p w14:paraId="30F02DBE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- учитывать СТ.РК 1.27 при установлении в стандарте терминов и  определений;</w:t>
      </w:r>
    </w:p>
    <w:p w14:paraId="09179BD5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 xml:space="preserve">-  сформировать </w:t>
      </w:r>
      <w:r>
        <w:rPr>
          <w:color w:val="00000A"/>
          <w:highlight w:val="white"/>
        </w:rPr>
        <w:t>c</w:t>
      </w:r>
      <w:r w:rsidRPr="00EE5F3B">
        <w:rPr>
          <w:color w:val="00000A"/>
          <w:highlight w:val="white"/>
        </w:rPr>
        <w:t>водку отзывов согласно пункт 4.9 СТ.РК 1.2 -202;</w:t>
      </w:r>
    </w:p>
    <w:p w14:paraId="69C1EAA1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- добавить информацию к пояснительной записке о наличии или отсутствии действующих нормативных документов по стандартизации с аналогичным объектом стандартизации;</w:t>
      </w:r>
    </w:p>
    <w:p w14:paraId="4F5321CA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- проверить структуру, стиль изложения и терминологию проекта стандарта;</w:t>
      </w:r>
    </w:p>
    <w:p w14:paraId="43443386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- устранить замечания в разделе области применения, в частности замечания по наименованию проекта стандарта.</w:t>
      </w:r>
    </w:p>
    <w:p w14:paraId="2A798029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</w:rPr>
        <w:t xml:space="preserve">5.4. Исполнитель должен  обеспечить перевод на казахский язык отредактированный стандарта проекта (направляемый на повторную экспертизу). </w:t>
      </w:r>
    </w:p>
    <w:p w14:paraId="12366EA1" w14:textId="77777777" w:rsidR="00B61D6E" w:rsidRPr="00EE5F3B" w:rsidRDefault="00B61D6E" w:rsidP="00B61D6E">
      <w:pPr>
        <w:ind w:firstLine="630"/>
        <w:jc w:val="both"/>
        <w:rPr>
          <w:highlight w:val="white"/>
        </w:rPr>
      </w:pPr>
      <w:r w:rsidRPr="00EE5F3B">
        <w:rPr>
          <w:highlight w:val="white"/>
        </w:rPr>
        <w:t>5.5. При наличии разногласий по предлагаемым изменениям Исполнитель организует рассмотрение и снятие этих разногласий.</w:t>
      </w:r>
    </w:p>
    <w:p w14:paraId="4D3EBFC6" w14:textId="77777777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 xml:space="preserve">5.6. Исполнитель взаимодействует с национальным органом по стандартизации по вопросам устранения замечаний, полученных по итогам экспертизы стандарта </w:t>
      </w:r>
      <w:r w:rsidRPr="00EE5F3B">
        <w:rPr>
          <w:color w:val="00000A"/>
        </w:rPr>
        <w:t>СТ РК «Туристские тропы. Общие требование к маркировке пеших троп»</w:t>
      </w:r>
      <w:r w:rsidRPr="00EE5F3B">
        <w:rPr>
          <w:color w:val="00000A"/>
          <w:highlight w:val="white"/>
        </w:rPr>
        <w:t xml:space="preserve"> ;</w:t>
      </w:r>
    </w:p>
    <w:p w14:paraId="7B4FEBFD" w14:textId="346316E8" w:rsidR="00B61D6E" w:rsidRPr="00EE5F3B" w:rsidRDefault="00B61D6E" w:rsidP="00B61D6E">
      <w:pPr>
        <w:ind w:firstLine="630"/>
        <w:jc w:val="both"/>
        <w:rPr>
          <w:color w:val="00000A"/>
          <w:highlight w:val="white"/>
        </w:rPr>
      </w:pPr>
      <w:r w:rsidRPr="00EE5F3B">
        <w:rPr>
          <w:color w:val="00000A"/>
          <w:highlight w:val="white"/>
        </w:rPr>
        <w:t>5.7. Исполнитель обязуется</w:t>
      </w:r>
      <w:r>
        <w:rPr>
          <w:color w:val="00000A"/>
          <w:highlight w:val="white"/>
        </w:rPr>
        <w:t xml:space="preserve"> </w:t>
      </w:r>
      <w:r w:rsidRPr="00EE5F3B">
        <w:rPr>
          <w:color w:val="00000A"/>
          <w:highlight w:val="white"/>
        </w:rPr>
        <w:t>устранить любые дополнительные</w:t>
      </w:r>
      <w:r>
        <w:rPr>
          <w:color w:val="00000A"/>
          <w:highlight w:val="white"/>
        </w:rPr>
        <w:t xml:space="preserve"> </w:t>
      </w:r>
      <w:r w:rsidRPr="00EE5F3B">
        <w:rPr>
          <w:color w:val="00000A"/>
          <w:highlight w:val="white"/>
        </w:rPr>
        <w:t xml:space="preserve">замечания полученные после повторного экспертного заключения от </w:t>
      </w:r>
      <w:r w:rsidRPr="00EE5F3B">
        <w:rPr>
          <w:highlight w:val="white"/>
        </w:rPr>
        <w:t>РГП «КазСтандарт»</w:t>
      </w:r>
      <w:r w:rsidRPr="00EE5F3B">
        <w:rPr>
          <w:color w:val="00000A"/>
          <w:highlight w:val="white"/>
        </w:rPr>
        <w:t xml:space="preserve"> (при наличии);</w:t>
      </w:r>
    </w:p>
    <w:p w14:paraId="441D39AD" w14:textId="77777777" w:rsidR="00B61D6E" w:rsidRPr="00EE5F3B" w:rsidRDefault="00B61D6E" w:rsidP="00B61D6E">
      <w:pPr>
        <w:ind w:firstLine="630"/>
        <w:jc w:val="both"/>
        <w:rPr>
          <w:highlight w:val="white"/>
        </w:rPr>
      </w:pPr>
      <w:r w:rsidRPr="00EE5F3B">
        <w:rPr>
          <w:color w:val="00000A"/>
          <w:highlight w:val="white"/>
        </w:rPr>
        <w:lastRenderedPageBreak/>
        <w:t>5.8. Исполнитель должен контролировать и сопровождать весь процесс прохождения повторной экспертизы (контроль своевременности получения ответов от заинтересованных организации, своевременно реагировать на полученные комментарии со сторо</w:t>
      </w:r>
      <w:r w:rsidRPr="00EE5F3B">
        <w:rPr>
          <w:highlight w:val="white"/>
        </w:rPr>
        <w:t>ны РГП «КазСтандарт» и Заказчика)</w:t>
      </w:r>
    </w:p>
    <w:p w14:paraId="303A89ED" w14:textId="77777777" w:rsidR="00B61D6E" w:rsidRPr="00EE5F3B" w:rsidRDefault="00B61D6E" w:rsidP="00B61D6E">
      <w:pPr>
        <w:ind w:firstLine="630"/>
        <w:jc w:val="both"/>
        <w:rPr>
          <w:color w:val="00000A"/>
        </w:rPr>
      </w:pPr>
      <w:r w:rsidRPr="00EE5F3B">
        <w:rPr>
          <w:color w:val="00000A"/>
        </w:rPr>
        <w:t>5.9. Исполнитель предоставляет информацию о ходе оказания услуг в электронном виде по запросу Заказчика.</w:t>
      </w:r>
    </w:p>
    <w:p w14:paraId="50CA0809" w14:textId="77777777" w:rsidR="00B61D6E" w:rsidRPr="00EE5F3B" w:rsidRDefault="00B61D6E" w:rsidP="00B61D6E">
      <w:pPr>
        <w:ind w:firstLine="630"/>
        <w:jc w:val="both"/>
        <w:rPr>
          <w:color w:val="00000A"/>
        </w:rPr>
      </w:pPr>
    </w:p>
    <w:p w14:paraId="71A33149" w14:textId="77777777" w:rsidR="00B61D6E" w:rsidRPr="00EE5F3B" w:rsidRDefault="00B61D6E" w:rsidP="00B61D6E">
      <w:pPr>
        <w:ind w:firstLine="630"/>
        <w:jc w:val="both"/>
        <w:rPr>
          <w:b/>
          <w:color w:val="00000A"/>
        </w:rPr>
      </w:pPr>
      <w:r w:rsidRPr="00EE5F3B">
        <w:rPr>
          <w:color w:val="00000A"/>
        </w:rPr>
        <w:t xml:space="preserve">6. </w:t>
      </w:r>
      <w:r w:rsidRPr="00EE5F3B">
        <w:rPr>
          <w:b/>
          <w:color w:val="00000A"/>
        </w:rPr>
        <w:t>Требования к исполнителю</w:t>
      </w:r>
    </w:p>
    <w:p w14:paraId="1CA6AC91" w14:textId="77777777" w:rsidR="00B61D6E" w:rsidRPr="00EE5F3B" w:rsidRDefault="00B61D6E" w:rsidP="00B61D6E">
      <w:pPr>
        <w:ind w:firstLine="630"/>
        <w:jc w:val="both"/>
        <w:rPr>
          <w:color w:val="00000A"/>
        </w:rPr>
      </w:pPr>
      <w:r w:rsidRPr="00EE5F3B">
        <w:rPr>
          <w:color w:val="00000A"/>
        </w:rPr>
        <w:t>6.1.Исполнитель должен соответствовать следующим квалификационным требованиям:</w:t>
      </w:r>
    </w:p>
    <w:p w14:paraId="4136F1A5" w14:textId="77777777" w:rsidR="00B61D6E" w:rsidRPr="00EE5F3B" w:rsidRDefault="00B61D6E" w:rsidP="00B61D6E">
      <w:pPr>
        <w:ind w:firstLine="630"/>
        <w:jc w:val="both"/>
      </w:pPr>
      <w:r w:rsidRPr="00EE5F3B">
        <w:rPr>
          <w:color w:val="00000A"/>
        </w:rPr>
        <w:t xml:space="preserve">6.1.1. </w:t>
      </w:r>
      <w:r w:rsidRPr="00EE5F3B">
        <w:t>Наличие высшего образования;</w:t>
      </w:r>
    </w:p>
    <w:p w14:paraId="73E11EE8" w14:textId="77777777" w:rsidR="00B61D6E" w:rsidRPr="00EE5F3B" w:rsidRDefault="00B61D6E" w:rsidP="00B61D6E">
      <w:pPr>
        <w:ind w:firstLine="630"/>
        <w:jc w:val="both"/>
      </w:pPr>
      <w:r w:rsidRPr="00EE5F3B">
        <w:t xml:space="preserve">6.1.2. Наличие опыта работы в сфере разработки стандартов не менее </w:t>
      </w:r>
      <w:r>
        <w:rPr>
          <w:highlight w:val="white"/>
        </w:rPr>
        <w:t> </w:t>
      </w:r>
      <w:r w:rsidRPr="00EE5F3B">
        <w:rPr>
          <w:highlight w:val="white"/>
        </w:rPr>
        <w:t xml:space="preserve">трех </w:t>
      </w:r>
      <w:r w:rsidRPr="00EE5F3B">
        <w:t>лет;</w:t>
      </w:r>
    </w:p>
    <w:p w14:paraId="1E6B8D90" w14:textId="77777777" w:rsidR="00B61D6E" w:rsidRPr="00EE5F3B" w:rsidRDefault="00B61D6E" w:rsidP="00B61D6E">
      <w:pPr>
        <w:ind w:firstLine="630"/>
        <w:jc w:val="both"/>
      </w:pPr>
      <w:r w:rsidRPr="00EE5F3B">
        <w:t>6.1.3. При проведении собеседования Исполнитель должен подтвердить знание стандартов СТ РК 1.2 и СТ РК 1.22.</w:t>
      </w:r>
    </w:p>
    <w:p w14:paraId="1F229AB7" w14:textId="77777777" w:rsidR="00B61D6E" w:rsidRPr="00EE5F3B" w:rsidRDefault="00B61D6E" w:rsidP="00B61D6E">
      <w:pPr>
        <w:ind w:firstLine="630"/>
        <w:jc w:val="both"/>
        <w:rPr>
          <w:b/>
          <w:color w:val="00000A"/>
        </w:rPr>
      </w:pPr>
      <w:r w:rsidRPr="00EE5F3B">
        <w:rPr>
          <w:b/>
          <w:color w:val="00000A"/>
        </w:rPr>
        <w:t xml:space="preserve"> </w:t>
      </w:r>
    </w:p>
    <w:p w14:paraId="0D962A50" w14:textId="77777777" w:rsidR="00B61D6E" w:rsidRPr="00EE5F3B" w:rsidRDefault="00B61D6E" w:rsidP="00B61D6E">
      <w:pPr>
        <w:ind w:firstLine="630"/>
        <w:jc w:val="both"/>
        <w:rPr>
          <w:b/>
          <w:color w:val="00000A"/>
        </w:rPr>
      </w:pPr>
      <w:r w:rsidRPr="00EE5F3B">
        <w:rPr>
          <w:color w:val="00000A"/>
        </w:rPr>
        <w:t xml:space="preserve">7. </w:t>
      </w:r>
      <w:r w:rsidRPr="00EE5F3B">
        <w:rPr>
          <w:b/>
          <w:color w:val="00000A"/>
        </w:rPr>
        <w:t>Порядок оплаты и сроки оказания услуг</w:t>
      </w:r>
    </w:p>
    <w:p w14:paraId="54E1EBA5" w14:textId="77777777" w:rsidR="00B61D6E" w:rsidRPr="00EE5F3B" w:rsidRDefault="00B61D6E" w:rsidP="00B61D6E">
      <w:pPr>
        <w:spacing w:line="326" w:lineRule="auto"/>
        <w:ind w:firstLine="630"/>
        <w:jc w:val="both"/>
      </w:pPr>
      <w:r w:rsidRPr="00EE5F3B">
        <w:t xml:space="preserve">7.1. Оплата производится за фактически оказанные услуги после предоставления акта оказанных услуг и Отчета об оказанных услугах. </w:t>
      </w:r>
    </w:p>
    <w:p w14:paraId="7A19F5B3" w14:textId="77777777" w:rsidR="00B61D6E" w:rsidRPr="00EE5F3B" w:rsidRDefault="00B61D6E" w:rsidP="00B61D6E">
      <w:pPr>
        <w:ind w:firstLine="630"/>
        <w:jc w:val="both"/>
        <w:rPr>
          <w:b/>
          <w:color w:val="00000A"/>
        </w:rPr>
      </w:pPr>
      <w:r w:rsidRPr="00EE5F3B">
        <w:rPr>
          <w:b/>
          <w:color w:val="00000A"/>
        </w:rPr>
        <w:t xml:space="preserve"> </w:t>
      </w:r>
    </w:p>
    <w:p w14:paraId="50F3CF49" w14:textId="77777777" w:rsidR="00B61D6E" w:rsidRPr="00EE5F3B" w:rsidRDefault="00B61D6E" w:rsidP="00B61D6E">
      <w:pPr>
        <w:ind w:firstLine="630"/>
        <w:jc w:val="both"/>
        <w:rPr>
          <w:b/>
          <w:color w:val="00000A"/>
        </w:rPr>
      </w:pPr>
      <w:r w:rsidRPr="00EE5F3B">
        <w:rPr>
          <w:color w:val="00000A"/>
        </w:rPr>
        <w:t xml:space="preserve">8. </w:t>
      </w:r>
      <w:r w:rsidRPr="00EE5F3B">
        <w:rPr>
          <w:b/>
          <w:color w:val="00000A"/>
        </w:rPr>
        <w:t>Требования к отчетности</w:t>
      </w:r>
    </w:p>
    <w:p w14:paraId="3463F5B8" w14:textId="77777777" w:rsidR="00B61D6E" w:rsidRPr="00EE5F3B" w:rsidRDefault="00B61D6E" w:rsidP="00B61D6E">
      <w:pPr>
        <w:ind w:firstLine="630"/>
        <w:jc w:val="both"/>
      </w:pPr>
      <w:r w:rsidRPr="00EE5F3B">
        <w:t xml:space="preserve">8.1. Отчет, включающий информацию об оказанных услугах за весь период оказания услуг, необходимо предоставить в срок </w:t>
      </w:r>
      <w:r>
        <w:rPr>
          <w:highlight w:val="white"/>
        </w:rPr>
        <w:t> </w:t>
      </w:r>
      <w:r w:rsidRPr="00EE5F3B">
        <w:rPr>
          <w:highlight w:val="white"/>
        </w:rPr>
        <w:t xml:space="preserve">по 20 декабря </w:t>
      </w:r>
      <w:r w:rsidRPr="00EE5F3B">
        <w:t>2022 года.</w:t>
      </w:r>
    </w:p>
    <w:p w14:paraId="79D65148" w14:textId="77777777" w:rsidR="00B61D6E" w:rsidRPr="00EE5F3B" w:rsidRDefault="00B61D6E" w:rsidP="00B61D6E">
      <w:pPr>
        <w:spacing w:line="326" w:lineRule="auto"/>
        <w:ind w:firstLine="630"/>
        <w:jc w:val="both"/>
      </w:pPr>
      <w:r w:rsidRPr="00EE5F3B">
        <w:t>8.2. Бумажные отчеты формата А4 в двух экземплярах должны содержать: ФИО Исполнителя, данные о Договоре, информацию об оказанных услугах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14:paraId="2DF93543" w14:textId="77777777" w:rsidR="00B61D6E" w:rsidRPr="00EE5F3B" w:rsidRDefault="00B61D6E" w:rsidP="00B61D6E">
      <w:pPr>
        <w:spacing w:line="326" w:lineRule="auto"/>
        <w:ind w:firstLine="630"/>
        <w:jc w:val="both"/>
        <w:rPr>
          <w:highlight w:val="white"/>
        </w:rPr>
      </w:pPr>
      <w:r w:rsidRPr="00EE5F3B">
        <w:t>8.3. Вместе</w:t>
      </w:r>
      <w:r w:rsidRPr="00EE5F3B">
        <w:rPr>
          <w:highlight w:val="white"/>
        </w:rPr>
        <w:t xml:space="preserve"> с отчетом необходимо предоставить акты оказанных услуг в двух экземплярах, подписанные Исполнителем.</w:t>
      </w:r>
    </w:p>
    <w:p w14:paraId="4C7D19CA" w14:textId="77777777" w:rsidR="00B61D6E" w:rsidRPr="00EE5F3B" w:rsidRDefault="00B61D6E" w:rsidP="00B61D6E">
      <w:pPr>
        <w:spacing w:line="326" w:lineRule="auto"/>
        <w:ind w:firstLine="630"/>
        <w:jc w:val="both"/>
        <w:rPr>
          <w:highlight w:val="white"/>
        </w:rPr>
      </w:pPr>
      <w:r w:rsidRPr="00EE5F3B">
        <w:rPr>
          <w:highlight w:val="white"/>
        </w:rPr>
        <w:t xml:space="preserve">8.4. Вместе с отчетом необходимо предоставить электронные варианты отчетов путем направления на электронную почту. </w:t>
      </w:r>
    </w:p>
    <w:p w14:paraId="720CD49C" w14:textId="714546C0" w:rsidR="00B61D6E" w:rsidRPr="00EE5F3B" w:rsidRDefault="00B61D6E" w:rsidP="00B61D6E">
      <w:pPr>
        <w:spacing w:line="326" w:lineRule="auto"/>
        <w:ind w:firstLine="630"/>
        <w:jc w:val="both"/>
      </w:pPr>
      <w:r w:rsidRPr="00EE5F3B">
        <w:rPr>
          <w:highlight w:val="white"/>
        </w:rPr>
        <w:t>8.5. При оказании услуг Исполнитель об</w:t>
      </w:r>
      <w:r w:rsidRPr="00EE5F3B">
        <w:t xml:space="preserve">язан обеспечить сохранность всех документов, подтверждающих объем оказанных услуг. </w:t>
      </w: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E52C" w14:textId="77777777" w:rsidR="008E3E32" w:rsidRDefault="008E3E32" w:rsidP="004F2784">
      <w:r>
        <w:separator/>
      </w:r>
    </w:p>
  </w:endnote>
  <w:endnote w:type="continuationSeparator" w:id="0">
    <w:p w14:paraId="65265AD2" w14:textId="77777777" w:rsidR="008E3E32" w:rsidRDefault="008E3E3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DB08" w14:textId="77777777" w:rsidR="008E3E32" w:rsidRDefault="008E3E32" w:rsidP="004F2784">
      <w:r>
        <w:separator/>
      </w:r>
    </w:p>
  </w:footnote>
  <w:footnote w:type="continuationSeparator" w:id="0">
    <w:p w14:paraId="380B3A50" w14:textId="77777777" w:rsidR="008E3E32" w:rsidRDefault="008E3E32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7124A71"/>
    <w:multiLevelType w:val="multilevel"/>
    <w:tmpl w:val="0B7E3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33"/>
  </w:num>
  <w:num w:numId="5">
    <w:abstractNumId w:val="19"/>
  </w:num>
  <w:num w:numId="6">
    <w:abstractNumId w:val="22"/>
  </w:num>
  <w:num w:numId="7">
    <w:abstractNumId w:val="35"/>
  </w:num>
  <w:num w:numId="8">
    <w:abstractNumId w:val="25"/>
  </w:num>
  <w:num w:numId="9">
    <w:abstractNumId w:val="26"/>
  </w:num>
  <w:num w:numId="10">
    <w:abstractNumId w:val="16"/>
  </w:num>
  <w:num w:numId="11">
    <w:abstractNumId w:val="27"/>
  </w:num>
  <w:num w:numId="12">
    <w:abstractNumId w:val="0"/>
  </w:num>
  <w:num w:numId="13">
    <w:abstractNumId w:val="10"/>
  </w:num>
  <w:num w:numId="14">
    <w:abstractNumId w:val="20"/>
  </w:num>
  <w:num w:numId="15">
    <w:abstractNumId w:val="29"/>
  </w:num>
  <w:num w:numId="16">
    <w:abstractNumId w:val="14"/>
  </w:num>
  <w:num w:numId="17">
    <w:abstractNumId w:val="31"/>
  </w:num>
  <w:num w:numId="18">
    <w:abstractNumId w:val="7"/>
  </w:num>
  <w:num w:numId="19">
    <w:abstractNumId w:val="17"/>
  </w:num>
  <w:num w:numId="20">
    <w:abstractNumId w:val="4"/>
  </w:num>
  <w:num w:numId="21">
    <w:abstractNumId w:val="30"/>
  </w:num>
  <w:num w:numId="22">
    <w:abstractNumId w:val="28"/>
  </w:num>
  <w:num w:numId="23">
    <w:abstractNumId w:val="24"/>
  </w:num>
  <w:num w:numId="24">
    <w:abstractNumId w:val="11"/>
  </w:num>
  <w:num w:numId="25">
    <w:abstractNumId w:val="12"/>
  </w:num>
  <w:num w:numId="26">
    <w:abstractNumId w:val="5"/>
  </w:num>
  <w:num w:numId="27">
    <w:abstractNumId w:val="34"/>
  </w:num>
  <w:num w:numId="28">
    <w:abstractNumId w:val="23"/>
  </w:num>
  <w:num w:numId="29">
    <w:abstractNumId w:val="6"/>
  </w:num>
  <w:num w:numId="30">
    <w:abstractNumId w:val="9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C0F88"/>
    <w:rsid w:val="00106D11"/>
    <w:rsid w:val="00133127"/>
    <w:rsid w:val="001409C4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4F4067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D2BEE"/>
    <w:rsid w:val="008E3E32"/>
    <w:rsid w:val="008E72F6"/>
    <w:rsid w:val="008F2BF1"/>
    <w:rsid w:val="009050AC"/>
    <w:rsid w:val="009A020C"/>
    <w:rsid w:val="009B0741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1D6E"/>
    <w:rsid w:val="00B674B3"/>
    <w:rsid w:val="00BC21D2"/>
    <w:rsid w:val="00BC6393"/>
    <w:rsid w:val="00BC7B34"/>
    <w:rsid w:val="00C002D9"/>
    <w:rsid w:val="00C120A9"/>
    <w:rsid w:val="00C275CB"/>
    <w:rsid w:val="00CE1C35"/>
    <w:rsid w:val="00D21277"/>
    <w:rsid w:val="00D67577"/>
    <w:rsid w:val="00D74903"/>
    <w:rsid w:val="00D74A36"/>
    <w:rsid w:val="00D800A2"/>
    <w:rsid w:val="00D91E76"/>
    <w:rsid w:val="00DA253C"/>
    <w:rsid w:val="00DD6AB2"/>
    <w:rsid w:val="00DD6DDD"/>
    <w:rsid w:val="00DF12A7"/>
    <w:rsid w:val="00DF5A7C"/>
    <w:rsid w:val="00E54ED0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F40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6</cp:revision>
  <dcterms:created xsi:type="dcterms:W3CDTF">2022-11-10T11:11:00Z</dcterms:created>
  <dcterms:modified xsi:type="dcterms:W3CDTF">2022-11-25T04:54:00Z</dcterms:modified>
</cp:coreProperties>
</file>