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 </w:t>
      </w:r>
      <w:r w:rsidRPr="004019C5">
        <w:t>языке, на</w:t>
      </w:r>
      <w:r w:rsidRPr="00F55C2F">
        <w:t xml:space="preserve">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FE1A1C" w:rsidRPr="001A5FC5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 w:rsidRPr="004019C5">
        <w:rPr>
          <w:b/>
        </w:rPr>
        <w:t>немецкий</w:t>
      </w:r>
      <w:r w:rsidRPr="00F55C2F">
        <w:rPr>
          <w:b/>
        </w:rPr>
        <w:t xml:space="preserve">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FE1A1C" w:rsidRPr="00F55C2F" w:rsidRDefault="00FE1A1C" w:rsidP="00FE1A1C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FE1A1C" w:rsidRPr="00F55C2F" w:rsidRDefault="00FE1A1C" w:rsidP="00FE1A1C">
      <w:pPr>
        <w:pStyle w:val="a8"/>
        <w:numPr>
          <w:ilvl w:val="2"/>
          <w:numId w:val="40"/>
        </w:numPr>
        <w:ind w:left="0" w:firstLine="709"/>
        <w:jc w:val="both"/>
      </w:pPr>
      <w:r>
        <w:rPr>
          <w:lang w:val="kk-KZ"/>
        </w:rPr>
        <w:t>П</w:t>
      </w:r>
      <w:r w:rsidRPr="00F55C2F">
        <w:t>еревод и адаптация графических материалов, инфографик и пр.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орфографиче</w:t>
      </w:r>
      <w:r>
        <w:rPr>
          <w:lang w:val="kk-KZ"/>
        </w:rPr>
        <w:t>с</w:t>
      </w:r>
      <w:r w:rsidRPr="00F55C2F">
        <w:t>ких, пунктуационных ошибок.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>, в связи с нарушением пунктов</w:t>
      </w:r>
      <w:r>
        <w:rPr>
          <w:lang w:val="kk-KZ"/>
        </w:rPr>
        <w:t xml:space="preserve"> 8</w:t>
      </w:r>
      <w:r w:rsidRPr="00F55C2F">
        <w:t>.5-</w:t>
      </w:r>
      <w:r>
        <w:rPr>
          <w:lang w:val="kk-KZ"/>
        </w:rPr>
        <w:t>8</w:t>
      </w:r>
      <w:r w:rsidRPr="00F55C2F">
        <w:t>.</w:t>
      </w:r>
      <w:r>
        <w:rPr>
          <w:lang w:val="kk-KZ"/>
        </w:rPr>
        <w:t>8</w:t>
      </w:r>
      <w:r w:rsidRPr="00F55C2F">
        <w:t xml:space="preserve"> данной технической спецификации.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</w:rPr>
        <w:t>8</w:t>
      </w:r>
      <w:r w:rsidRPr="00F55C2F">
        <w:rPr>
          <w:color w:val="000000"/>
        </w:rPr>
        <w:t>.12.2023 г.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FE1A1C" w:rsidRPr="00F55C2F" w:rsidRDefault="00FE1A1C" w:rsidP="00FE1A1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FE1A1C" w:rsidRPr="00F55C2F" w:rsidRDefault="00FE1A1C" w:rsidP="00FE1A1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FE1A1C" w:rsidRPr="00F55C2F" w:rsidRDefault="00FE1A1C" w:rsidP="00FE1A1C">
      <w:pPr>
        <w:pStyle w:val="a8"/>
        <w:ind w:left="0" w:firstLine="709"/>
        <w:jc w:val="both"/>
      </w:pPr>
    </w:p>
    <w:p w:rsidR="00FE1A1C" w:rsidRPr="00F55C2F" w:rsidRDefault="00FE1A1C" w:rsidP="00FE1A1C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bookmarkStart w:id="3" w:name="_GoBack"/>
      <w:bookmarkEnd w:id="3"/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FE1A1C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</w:t>
            </w:r>
            <w:r w:rsidR="00FE1A1C">
              <w:rPr>
                <w:bCs/>
                <w:color w:val="000000"/>
              </w:rPr>
              <w:t>немецкий</w:t>
            </w:r>
            <w:r w:rsidRPr="00E25722">
              <w:rPr>
                <w:bCs/>
                <w:color w:val="000000"/>
              </w:rPr>
              <w:t xml:space="preserve">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46" w:rsidRDefault="00B22846" w:rsidP="004F2784">
      <w:r>
        <w:separator/>
      </w:r>
    </w:p>
  </w:endnote>
  <w:endnote w:type="continuationSeparator" w:id="0">
    <w:p w:rsidR="00B22846" w:rsidRDefault="00B22846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46" w:rsidRDefault="00B22846" w:rsidP="004F2784">
      <w:r>
        <w:separator/>
      </w:r>
    </w:p>
  </w:footnote>
  <w:footnote w:type="continuationSeparator" w:id="0">
    <w:p w:rsidR="00B22846" w:rsidRDefault="00B22846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12CAC"/>
    <w:rsid w:val="00A469D9"/>
    <w:rsid w:val="00A5090A"/>
    <w:rsid w:val="00AA1B74"/>
    <w:rsid w:val="00AE4D9D"/>
    <w:rsid w:val="00AF771A"/>
    <w:rsid w:val="00B0435B"/>
    <w:rsid w:val="00B22846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CD625C"/>
    <w:rsid w:val="00D00701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1A1C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1C0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25</cp:revision>
  <dcterms:created xsi:type="dcterms:W3CDTF">2023-06-27T03:35:00Z</dcterms:created>
  <dcterms:modified xsi:type="dcterms:W3CDTF">2023-10-16T03:02:00Z</dcterms:modified>
</cp:coreProperties>
</file>